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12"/>
        <w:jc w:val="center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1637030" cy="104775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/>
        <w:drawing>
          <wp:inline distT="0" distB="0" distL="0" distR="0">
            <wp:extent cx="2435225" cy="142748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</w:t>
      </w:r>
      <w:r>
        <w:rPr/>
        <w:drawing>
          <wp:inline distT="0" distB="0" distL="0" distR="0">
            <wp:extent cx="1318895" cy="1247140"/>
            <wp:effectExtent l="0" t="0" r="0" b="0"/>
            <wp:docPr id="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</w:r>
      <w:r>
        <w:rPr>
          <w:rFonts w:cs="Times New Roman" w:ascii="Times New Roman" w:hAnsi="Times New Roman"/>
        </w:rPr>
        <w:tab/>
        <w:tab/>
        <w:tab/>
        <w:tab/>
      </w:r>
    </w:p>
    <w:p>
      <w:pPr>
        <w:pStyle w:val="Normal"/>
        <w:spacing w:lineRule="auto" w:line="312" w:before="0" w:after="0"/>
        <w:jc w:val="center"/>
        <w:rPr>
          <w:rFonts w:ascii="Times New Roman" w:hAnsi="Times New Roman" w:eastAsia="Times New Roman" w:cs="Times New Roman"/>
          <w:b/>
          <w:b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</w:rPr>
        <w:t xml:space="preserve">PNRR: generi, generazioni e territori. </w:t>
      </w:r>
    </w:p>
    <w:p>
      <w:pPr>
        <w:pStyle w:val="Normal"/>
        <w:spacing w:lineRule="auto" w:line="312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Il ruolo dell’università per una società più equa e inclusiva.</w:t>
      </w:r>
    </w:p>
    <w:p>
      <w:pPr>
        <w:pStyle w:val="Normal"/>
        <w:spacing w:lineRule="auto" w:line="312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  <w:bookmarkStart w:id="1" w:name="_heading=h.30j0zll"/>
      <w:bookmarkStart w:id="2" w:name="_heading=h.30j0zll"/>
      <w:bookmarkEnd w:id="2"/>
    </w:p>
    <w:p>
      <w:pPr>
        <w:pStyle w:val="Normal"/>
        <w:spacing w:lineRule="auto" w:line="312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Convegno Annuale della Conferenza</w:t>
      </w:r>
    </w:p>
    <w:p>
      <w:pPr>
        <w:pStyle w:val="Normal"/>
        <w:spacing w:lineRule="auto" w:line="312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eastAsia="Times New Roman" w:cs="Times New Roman" w:ascii="Times New Roman" w:hAnsi="Times New Roman"/>
          <w:b/>
        </w:rPr>
        <w:t>Nazionale degli Organismi di Parità delle Università italiane</w:t>
      </w:r>
    </w:p>
    <w:p>
      <w:pPr>
        <w:pStyle w:val="Normal"/>
        <w:spacing w:lineRule="auto" w:line="312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312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Università Politecnica delle Marche</w:t>
      </w:r>
    </w:p>
    <w:p>
      <w:pPr>
        <w:pStyle w:val="Normal"/>
        <w:spacing w:lineRule="auto" w:line="312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6-7 Ottobre 2022</w:t>
      </w:r>
    </w:p>
    <w:p>
      <w:pPr>
        <w:pStyle w:val="Normal"/>
        <w:spacing w:lineRule="auto" w:line="312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1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  <w:bookmarkStart w:id="3" w:name="_GoBack"/>
      <w:bookmarkStart w:id="4" w:name="_GoBack"/>
      <w:bookmarkEnd w:id="4"/>
    </w:p>
    <w:p>
      <w:pPr>
        <w:pStyle w:val="Normal"/>
        <w:spacing w:lineRule="auto" w:line="312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TITOLO DEL CONTRIBUTO</w:t>
      </w:r>
    </w:p>
    <w:p>
      <w:pPr>
        <w:pStyle w:val="Normal"/>
        <w:spacing w:lineRule="auto" w:line="312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12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ABSTRACT </w:t>
      </w:r>
    </w:p>
    <w:p>
      <w:pPr>
        <w:pStyle w:val="Normal"/>
        <w:spacing w:lineRule="auto" w:line="312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(da inviare </w:t>
      </w:r>
      <w:r>
        <w:rPr>
          <w:rFonts w:cs="Times New Roman" w:ascii="Times New Roman" w:hAnsi="Times New Roman"/>
          <w:b/>
        </w:rPr>
        <w:t>entro il 21 giugno 2022</w:t>
      </w:r>
      <w:r>
        <w:rPr>
          <w:rFonts w:cs="Times New Roman" w:ascii="Times New Roman" w:hAnsi="Times New Roman"/>
        </w:rPr>
        <w:t xml:space="preserve"> a counipar@gmail.com)</w:t>
      </w:r>
    </w:p>
    <w:p>
      <w:pPr>
        <w:pStyle w:val="Normal"/>
        <w:spacing w:lineRule="auto" w:line="312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1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106"/>
        <w:gridCol w:w="5521"/>
      </w:tblGrid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12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Autori/autrici (inserire un * se corresponding author)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12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12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Afferenza (di autori/autrici)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12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12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Indirizzi e-mail 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12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12"/>
        <w:rPr>
          <w:rFonts w:ascii="Times New Roman" w:hAnsi="Times New Roman" w:cs="Times New Roman"/>
          <w:b/>
          <w:b/>
        </w:rPr>
      </w:pPr>
      <w:sdt>
        <w:sdtPr>
          <w:id w:val="2002136735"/>
        </w:sdtPr>
        <w:sdtContent>
          <w:r>
            <w:rPr/>
          </w:r>
        </w:sdtContent>
      </w:sdt>
      <w:r>
        <w:rPr>
          <w:rFonts w:cs="Times New Roman" w:ascii="Times New Roman" w:hAnsi="Times New Roman"/>
          <w:b/>
        </w:rPr>
        <w:t>Scegliere un tema e al suo interno uno o al massimo due argomenti</w:t>
      </w:r>
    </w:p>
    <w:p>
      <w:pPr>
        <w:pStyle w:val="Normal"/>
        <w:spacing w:lineRule="auto" w:line="312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A. Piano Nazionale di Ripresa e Resilienza</w:t>
      </w:r>
    </w:p>
    <w:p>
      <w:pPr>
        <w:pStyle w:val="Normal"/>
        <w:spacing w:lineRule="auto" w:line="312" w:before="0" w:after="0"/>
        <w:ind w:left="426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A1. In che misura il PNRR potrà migliorare il raggiungimento della parità di genere nelle università sia fra la componente studentesca sia fra il personale dipendente (tecnico, amministrativo e docente)?</w:t>
      </w:r>
    </w:p>
    <w:p>
      <w:pPr>
        <w:pStyle w:val="Normal"/>
        <w:spacing w:lineRule="auto" w:line="312" w:before="0" w:after="0"/>
        <w:ind w:left="426" w:hanging="426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A2. Il PNRR potrà aumentare la parità di genere e generazionale nel mercato del lavoro e avere un impatto sull’accesso di giovani e donne all’università?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312" w:before="0" w:after="0"/>
        <w:ind w:left="284" w:hanging="284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A3. Gli investimenti previsti per il potenziamento delle competenze digitali potranno ridurre i divari di genere pre-mercato del lavoro? Quali gli effetti attesi nell’accesso ai percorsi STEM? Quali impatti sull’empowerment femminile?</w:t>
      </w:r>
    </w:p>
    <w:p>
      <w:pPr>
        <w:pStyle w:val="Normal"/>
        <w:spacing w:lineRule="auto" w:line="312" w:before="0" w:after="0"/>
        <w:ind w:left="284" w:hanging="284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A4. Interazione fra azioni previste nei Piani di Eguaglianza di </w:t>
      </w:r>
      <w:r>
        <w:rPr>
          <w:rFonts w:eastAsia="Times New Roman" w:cs="Times New Roman" w:ascii="Times New Roman" w:hAnsi="Times New Roman"/>
        </w:rPr>
        <w:t>Genere</w:t>
      </w:r>
      <w:r>
        <w:rPr>
          <w:rFonts w:eastAsia="Times New Roman" w:cs="Times New Roman" w:ascii="Times New Roman" w:hAnsi="Times New Roman"/>
          <w:color w:val="000000"/>
        </w:rPr>
        <w:t xml:space="preserve"> e nei Piani di Azioni Positive e misure e priorità trasversali all’interno del PNRR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A5. Azioni degli atenei italiani in attuazione del PNRR e delle sue priorità trasversali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312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B. Gender Equality Plan</w:t>
      </w:r>
    </w:p>
    <w:p>
      <w:pPr>
        <w:pStyle w:val="Normal"/>
        <w:pBdr/>
        <w:spacing w:lineRule="auto" w:line="312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</w:rPr>
        <w:t>B1. Ruolo degli organismi di parità nella stesura e nell’implementazione dei GEP</w:t>
      </w:r>
      <w:bookmarkStart w:id="5" w:name="_heading=h.s60o9lgl4w8n"/>
      <w:bookmarkEnd w:id="5"/>
    </w:p>
    <w:p>
      <w:pPr>
        <w:pStyle w:val="Normal"/>
        <w:pBdr/>
        <w:spacing w:lineRule="auto" w:line="312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B2. </w:t>
      </w:r>
      <w:r>
        <w:rPr>
          <w:rFonts w:eastAsia="Times New Roman" w:cs="Times New Roman" w:ascii="Times New Roman" w:hAnsi="Times New Roman"/>
          <w:color w:val="000000"/>
        </w:rPr>
        <w:t xml:space="preserve">Processi di monitoraggio previsti nell’ambito del disegno dei GEP </w:t>
      </w:r>
    </w:p>
    <w:p>
      <w:pPr>
        <w:pStyle w:val="Normal"/>
        <w:pBdr/>
        <w:spacing w:lineRule="auto" w:line="312" w:before="0" w:after="0"/>
        <w:jc w:val="both"/>
        <w:rPr>
          <w:rFonts w:ascii="Times New Roman" w:hAnsi="Times New Roman" w:eastAsia="Times New Roman" w:cs="Times New Roman"/>
        </w:rPr>
      </w:pPr>
      <w:bookmarkStart w:id="6" w:name="_heading=h.tre0efjuukqn"/>
      <w:bookmarkEnd w:id="6"/>
      <w:r>
        <w:rPr>
          <w:rFonts w:eastAsia="Times New Roman" w:cs="Times New Roman" w:ascii="Times New Roman" w:hAnsi="Times New Roman"/>
          <w:color w:val="000000"/>
        </w:rPr>
        <w:t>B3. Esperienze nell’implementazione delle azioni previste nei GEP</w:t>
      </w:r>
    </w:p>
    <w:p>
      <w:pPr>
        <w:pStyle w:val="Normal"/>
        <w:pBdr/>
        <w:spacing w:lineRule="auto" w:line="312" w:before="0" w:after="0"/>
        <w:jc w:val="both"/>
        <w:rPr>
          <w:rFonts w:ascii="Times New Roman" w:hAnsi="Times New Roman" w:eastAsia="Times New Roman" w:cs="Times New Roman"/>
        </w:rPr>
      </w:pPr>
      <w:bookmarkStart w:id="7" w:name="_heading=h.rt6l36bc6hqh"/>
      <w:bookmarkEnd w:id="7"/>
      <w:r>
        <w:rPr>
          <w:rFonts w:eastAsia="Times New Roman" w:cs="Times New Roman" w:ascii="Times New Roman" w:hAnsi="Times New Roman"/>
          <w:color w:val="000000"/>
        </w:rPr>
        <w:t xml:space="preserve">B4. Interazione del GEP con bilancio di genere e Piano di Azioni Positive </w:t>
      </w:r>
      <w:bookmarkStart w:id="8" w:name="_heading=h.isput62eaif"/>
      <w:bookmarkEnd w:id="8"/>
    </w:p>
    <w:p>
      <w:pPr>
        <w:pStyle w:val="Normal"/>
        <w:pBdr/>
        <w:spacing w:lineRule="auto" w:line="312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B5. </w:t>
      </w:r>
      <w:r>
        <w:rPr>
          <w:rFonts w:eastAsia="Times New Roman" w:cs="Times New Roman" w:ascii="Times New Roman" w:hAnsi="Times New Roman"/>
          <w:color w:val="000000"/>
        </w:rPr>
        <w:t>Attivazione di processi partecipativi all’interno delle istituzioni accademiche</w:t>
      </w:r>
      <w:bookmarkStart w:id="9" w:name="_heading=h.mfob6zeqy444"/>
      <w:bookmarkEnd w:id="9"/>
    </w:p>
    <w:p>
      <w:pPr>
        <w:pStyle w:val="Normal"/>
        <w:pBdr/>
        <w:spacing w:lineRule="auto" w:line="312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B6. </w:t>
      </w:r>
      <w:r>
        <w:rPr>
          <w:rFonts w:eastAsia="Times New Roman" w:cs="Times New Roman" w:ascii="Times New Roman" w:hAnsi="Times New Roman"/>
          <w:color w:val="000000"/>
        </w:rPr>
        <w:t>Gli Atenei apripista di una più ampia adozione di sistemi di rendicontazione di genere nei territo</w:t>
      </w:r>
      <w:bookmarkStart w:id="10" w:name="_heading=h.wu630okqhahp"/>
      <w:bookmarkStart w:id="11" w:name="_heading=h.3qyrveu765j"/>
      <w:bookmarkEnd w:id="10"/>
      <w:bookmarkEnd w:id="11"/>
      <w:r>
        <w:rPr>
          <w:rFonts w:eastAsia="Times New Roman" w:cs="Times New Roman" w:ascii="Times New Roman" w:hAnsi="Times New Roman"/>
          <w:color w:val="000000"/>
        </w:rPr>
        <w:t>ri.</w:t>
      </w:r>
    </w:p>
    <w:p>
      <w:pPr>
        <w:pStyle w:val="Normal"/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12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C. Violenza di genere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C1. Il ruolo dei Comitati Unici di Garanzia nel contrasto alla violenza di genere</w:t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cs="Times New Roman"/>
          <w:bCs/>
        </w:rPr>
      </w:pPr>
      <w:r>
        <w:rPr>
          <w:rFonts w:eastAsia="Times New Roman" w:cs="Times New Roman" w:ascii="Times New Roman" w:hAnsi="Times New Roman"/>
          <w:color w:val="000000"/>
        </w:rPr>
        <w:t>C2. Buone pratiche nelle università</w:t>
      </w:r>
      <w:r>
        <w:rPr>
          <w:rFonts w:cs="Times New Roman" w:ascii="Times New Roman" w:hAnsi="Times New Roman"/>
          <w:bCs/>
        </w:rPr>
        <w:t xml:space="preserve"> per il contrasto e la prevenzione della volenza di genere</w:t>
      </w:r>
    </w:p>
    <w:p>
      <w:pPr>
        <w:pStyle w:val="Normal"/>
        <w:pBdr/>
        <w:spacing w:lineRule="auto" w:line="312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C3. Il contrasto alla violenza di genere area prioritaria nelle linee guida per la stesura del Piano di Eguaglianza di genere: il contesto e le azioni previste nelle università </w:t>
      </w:r>
    </w:p>
    <w:p>
      <w:pPr>
        <w:pStyle w:val="Normal"/>
        <w:pBdr/>
        <w:spacing w:lineRule="auto" w:line="312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C4.Reti fra università, associazioni e istituzioni nei territori. Esperienze a confronto</w:t>
      </w:r>
    </w:p>
    <w:p>
      <w:pPr>
        <w:pStyle w:val="Normal"/>
        <w:pBdr/>
        <w:spacing w:lineRule="auto" w:line="312" w:before="0" w:after="0"/>
        <w:jc w:val="both"/>
        <w:rPr>
          <w:rFonts w:ascii="Times New Roman" w:hAnsi="Times New Roman" w:cs="Times New Roman"/>
          <w:bCs/>
        </w:rPr>
      </w:pPr>
      <w:r>
        <w:rPr>
          <w:rFonts w:eastAsia="Times New Roman" w:cs="Times New Roman" w:ascii="Times New Roman" w:hAnsi="Times New Roman"/>
        </w:rPr>
        <w:t>C5. L’impatto</w:t>
      </w:r>
      <w:r>
        <w:rPr>
          <w:rFonts w:cs="Times New Roman" w:ascii="Times New Roman" w:hAnsi="Times New Roman"/>
          <w:bCs/>
        </w:rPr>
        <w:t xml:space="preserve"> della pandemia sulla violenza di genere nelle università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12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12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31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PAROLE CHIAVE </w:t>
      </w:r>
    </w:p>
    <w:p>
      <w:pPr>
        <w:pStyle w:val="Normal"/>
        <w:spacing w:lineRule="auto" w:line="312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</w:r>
    </w:p>
    <w:p>
      <w:pPr>
        <w:pStyle w:val="Normal"/>
        <w:spacing w:lineRule="auto" w:line="312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</w:t>
      </w:r>
    </w:p>
    <w:p>
      <w:pPr>
        <w:pStyle w:val="Normal"/>
        <w:spacing w:lineRule="auto" w:line="312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</w:t>
      </w:r>
    </w:p>
    <w:p>
      <w:pPr>
        <w:pStyle w:val="Normal"/>
        <w:spacing w:lineRule="auto" w:line="312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12"/>
        <w:rPr>
          <w:rFonts w:ascii="Times New Roman" w:hAnsi="Times New Roman" w:cs="Times New Roman"/>
        </w:rPr>
      </w:pPr>
      <w:bookmarkStart w:id="12" w:name="_heading=h.gjdgxs"/>
      <w:bookmarkEnd w:id="12"/>
      <w:r>
        <w:rPr>
          <w:rFonts w:cs="Times New Roman" w:ascii="Times New Roman" w:hAnsi="Times New Roman"/>
        </w:rPr>
        <w:t>ABSTRACT 3000 – 5000 caratteri spazi inclusi</w:t>
      </w:r>
    </w:p>
    <w:p>
      <w:pPr>
        <w:pStyle w:val="Normal"/>
        <w:spacing w:lineRule="auto" w:line="312"/>
        <w:rPr>
          <w:rFonts w:ascii="Times New Roman" w:hAnsi="Times New Roman" w:cs="Times New Roman"/>
        </w:rPr>
      </w:pPr>
      <w:bookmarkStart w:id="13" w:name="_heading=h.kinsiapfwx2y"/>
      <w:bookmarkEnd w:id="13"/>
      <w:r>
        <w:rPr>
          <w:rFonts w:cs="Times New Roman" w:ascii="Times New Roman" w:hAnsi="Times New Roman"/>
        </w:rPr>
        <w:t>Lingua scelta per l’intervento:</w:t>
      </w:r>
    </w:p>
    <w:p>
      <w:pPr>
        <w:pStyle w:val="Normal"/>
        <w:numPr>
          <w:ilvl w:val="0"/>
          <w:numId w:val="1"/>
        </w:numPr>
        <w:spacing w:lineRule="auto" w:line="312" w:before="0" w:after="0"/>
        <w:ind w:left="0" w:hanging="0"/>
        <w:rPr>
          <w:rFonts w:ascii="Times New Roman" w:hAnsi="Times New Roman" w:cs="Times New Roman"/>
        </w:rPr>
      </w:pPr>
      <w:bookmarkStart w:id="14" w:name="_heading=h.m1pg3ie0kchf"/>
      <w:bookmarkEnd w:id="14"/>
      <w:r>
        <w:rPr>
          <w:rFonts w:cs="Times New Roman" w:ascii="Times New Roman" w:hAnsi="Times New Roman"/>
        </w:rPr>
        <w:t>Solo Italiano</w:t>
      </w:r>
    </w:p>
    <w:p>
      <w:pPr>
        <w:pStyle w:val="Normal"/>
        <w:numPr>
          <w:ilvl w:val="0"/>
          <w:numId w:val="1"/>
        </w:numPr>
        <w:spacing w:lineRule="auto" w:line="312" w:before="0" w:after="0"/>
        <w:ind w:left="0" w:hanging="0"/>
        <w:rPr>
          <w:rFonts w:ascii="Times New Roman" w:hAnsi="Times New Roman" w:cs="Times New Roman"/>
        </w:rPr>
      </w:pPr>
      <w:bookmarkStart w:id="15" w:name="_heading=h.4l7pa8358399"/>
      <w:bookmarkEnd w:id="15"/>
      <w:r>
        <w:rPr>
          <w:rFonts w:cs="Times New Roman" w:ascii="Times New Roman" w:hAnsi="Times New Roman"/>
        </w:rPr>
        <w:t>Solo Inglese</w:t>
      </w:r>
    </w:p>
    <w:p>
      <w:pPr>
        <w:pStyle w:val="Normal"/>
        <w:numPr>
          <w:ilvl w:val="0"/>
          <w:numId w:val="1"/>
        </w:numPr>
        <w:spacing w:lineRule="auto" w:line="312" w:before="0" w:after="200"/>
        <w:ind w:left="0" w:hanging="0"/>
        <w:rPr>
          <w:rFonts w:ascii="Times New Roman" w:hAnsi="Times New Roman" w:cs="Times New Roman"/>
        </w:rPr>
      </w:pPr>
      <w:bookmarkStart w:id="16" w:name="_heading=h.pxq61q3cr6hx"/>
      <w:bookmarkEnd w:id="16"/>
      <w:r>
        <w:rPr>
          <w:rFonts w:cs="Times New Roman" w:ascii="Times New Roman" w:hAnsi="Times New Roman"/>
        </w:rPr>
        <w:t>Inglese/Italiano</w:t>
      </w:r>
    </w:p>
    <w:sectPr>
      <w:type w:val="nextPage"/>
      <w:pgSz w:w="11906" w:h="16838"/>
      <w:pgMar w:left="1134" w:right="1134" w:gutter="0" w:header="0" w:top="141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❏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380426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qFormat/>
    <w:rsid w:val="00634e90"/>
    <w:rPr>
      <w:rFonts w:cs="Times New Roman"/>
      <w:sz w:val="16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34e90"/>
    <w:rPr>
      <w:rFonts w:ascii="Segoe UI" w:hAnsi="Segoe UI" w:cs="Segoe UI"/>
      <w:sz w:val="18"/>
      <w:szCs w:val="18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Pr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f9682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34e9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634e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5J3XcxsXCdhgujMV+dLh4UOVuJA==">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LibreOffice/7.3.1.3$Windows_X86_64 LibreOffice_project/a69ca51ded25f3eefd52d7bf9a5fad8c90b87951</Application>
  <AppVersion>15.0000</AppVersion>
  <Pages>3</Pages>
  <Words>385</Words>
  <Characters>2196</Characters>
  <CharactersWithSpaces>2557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2022-06-01T17:04:00Z</dcterms:created>
  <dc:creator>Tomio, Patrizia</dc:creator>
  <dc:description/>
  <dc:language>it-IT</dc:language>
  <cp:lastModifiedBy>Tindara ADDABBO</cp:lastModifiedBy>
  <dcterms:modified xsi:type="dcterms:W3CDTF">2022-06-01T17:04:00Z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